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QUEUE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ADT and CDT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Reflect </w:t>
      </w:r>
      <w:r w:rsidDel="00000000" w:rsidR="00000000" w:rsidRPr="00000000">
        <w:rPr>
          <w:rFonts w:ascii="Arial" w:cs="Arial" w:eastAsia="Arial" w:hAnsi="Arial"/>
          <w:rtl w:val="0"/>
        </w:rPr>
        <w:t xml:space="preserve">on 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Abstract Data Type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Queue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on its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Concrete Data Type </w:t>
      </w:r>
      <w:r w:rsidDel="00000000" w:rsidR="00000000" w:rsidRPr="00000000">
        <w:rPr>
          <w:rFonts w:ascii="Arial" w:cs="Arial" w:eastAsia="Arial" w:hAnsi="Arial"/>
          <w:rtl w:val="0"/>
        </w:rPr>
        <w:t xml:space="preserve">defined using an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array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ACTIVITY 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Identify the situations in which the operations on the queue can give rise to errors. How would you solve them?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rtl w:val="0"/>
        </w:rPr>
        <w:t xml:space="preserve">Hint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think to the ADT LIST and consider the errors that could have happened.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(eventually review the video at: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6"/>
          <w:szCs w:val="26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http://www.youtube.com/watch?annotation_id=annotation_332430&amp;feature=iv&amp;index=2&amp;list=PL2_aWCzGMAwI3W_JlcBbtYTwiQSsOTa6P&amp;src_vid=92S4zgXN17o&amp;v=HdFG8L1sajw</w:t>
        </w:r>
      </w:hyperlink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Are the error situations identified in step A pertaining to the abstract or to the concrete data type?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Letter"/>
      <w:lvlText w:val="%7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Letter"/>
      <w:lvlText w:val="%8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youtube.com/watch?annotation_id=annotation_332430&amp;feature=iv&amp;index=2&amp;list=PL2_aWCzGMAwI3W_JlcBbtYTwiQSsOTa6P&amp;src_vid=92S4zgXN17o&amp;v=HdFG8L1sajw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Gkmmw+YKR0xsiYFRdVDsMr/Lg==">AMUW2mVsW7vGFt19USmPoBx9qjkL6hgJv0NGIjf9Fo8ushAlomlKuajfe7cEgK4hucRGLQZyB6cb73ZXo/FZaZzj1saX5eHYhwgnMP7eaxltB7feNl2Su0Q=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