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 the video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www.youtube.com/watch?v=92S4zgXN17o&amp;list=PL2_aWCzGMAwI3W_JlcBbtYTwiQSsOTa6P&amp;index=1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(6:33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DATA STRUCTURES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structures are the most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block concept in computer science.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knowledge of data structures is a must 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efficient software systems.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rtl w:val="0"/>
        </w:rPr>
        <w:t xml:space="preserve">kinds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needed 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different </w:t>
      </w:r>
      <w:r w:rsidDel="00000000" w:rsidR="00000000" w:rsidRPr="00000000">
        <w:rPr>
          <w:rFonts w:ascii="Arial" w:cs="Arial" w:eastAsia="Arial" w:hAnsi="Arial"/>
          <w:rtl w:val="0"/>
        </w:rPr>
        <w:t xml:space="preserve">kinds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data.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we store,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in computers matters.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formal definition of a data structure is: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………………………………………………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mathematical and logical model of a data structure is called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type.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 is an example of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ADT means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type is the 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an ADT.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same ADT can be implemented by many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data types.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list is an example of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……………..…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data type.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data types means both defining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…….….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.data type and its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we need to correctly manage data?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kind of data are managed by computers?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does the organization of data in computers matter?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 abstract view of a data structure take into account?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ADT be implemented in programming languages? Provide some examples.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4" w:hanging="281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4" w:hanging="28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4" w:hanging="357.000000000000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4" w:hanging="282.000000000000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youtube.com/watch?v=92S4zgXN17o&amp;list=PL2_aWCzGMAwI3W_JlcBbtYTwiQSsOTa6P&amp;index=1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IaUe3YOFHokDab6IURlvyS0Gw==">AMUW2mVYprXIYIX7/Zj0cGfK+FRvA/RovzcRUKctfRf2de/fX32vSeAYEn+cf5mAKe9D8OxNsv6HX99lig5mL+bscxX9NtM1Dsfnv0fDKkii1Cd6cRQqIQU0mcBXAYLCcsLXtZg8OBYG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